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C19" w:rsidRDefault="00CD3C19" w:rsidP="00CD3C19"/>
    <w:p w:rsidR="00CD3C19" w:rsidRDefault="00CD3C19" w:rsidP="00CD3C19">
      <w:bookmarkStart w:id="0" w:name="_GoBack"/>
      <w:bookmarkEnd w:id="0"/>
    </w:p>
    <w:p w:rsidR="00CD3C19" w:rsidRDefault="00CD3C19" w:rsidP="00CD3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</w:t>
      </w:r>
      <w:r w:rsidR="004B68D8" w:rsidRPr="004B68D8">
        <w:rPr>
          <w:rFonts w:hint="eastAsia"/>
          <w:b/>
          <w:sz w:val="30"/>
          <w:szCs w:val="30"/>
        </w:rPr>
        <w:t>古代雕塑艺术考察</w:t>
      </w:r>
      <w:r>
        <w:rPr>
          <w:rFonts w:hint="eastAsia"/>
          <w:b/>
          <w:sz w:val="30"/>
          <w:szCs w:val="30"/>
        </w:rPr>
        <w:t>》课程教学大纲</w:t>
      </w: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一、教师或教学团队信息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22"/>
        <w:gridCol w:w="1421"/>
        <w:gridCol w:w="1421"/>
        <w:gridCol w:w="1667"/>
        <w:gridCol w:w="2591"/>
      </w:tblGrid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4B68D8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孙政学</w:t>
            </w:r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4B68D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研究员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4B68D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师大新村雕塑教研室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4B68D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18801805756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1135CA">
            <w:pPr>
              <w:spacing w:line="360" w:lineRule="auto"/>
              <w:rPr>
                <w:sz w:val="24"/>
                <w:szCs w:val="24"/>
              </w:rPr>
            </w:pPr>
            <w:r w:rsidRPr="001135CA">
              <w:rPr>
                <w:sz w:val="24"/>
                <w:szCs w:val="24"/>
              </w:rPr>
              <w:t>18801805756@163.com</w:t>
            </w:r>
          </w:p>
        </w:tc>
      </w:tr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CD3C19" w:rsidRDefault="00CD3C19" w:rsidP="00CD3C19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4B68D8">
        <w:rPr>
          <w:rFonts w:ascii="宋体" w:hAnsi="宋体" w:hint="eastAsia"/>
          <w:sz w:val="24"/>
          <w:szCs w:val="24"/>
        </w:rPr>
        <w:t>古代雕塑艺术考察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4B68D8">
        <w:rPr>
          <w:rStyle w:val="high-light-bg4"/>
          <w:rFonts w:cs="Arial"/>
        </w:rPr>
        <w:t>Art Research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课程类别：□通识必修课□通识选修课□专业必修课□专业方向课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□专业拓展课</w:t>
      </w:r>
      <w:r w:rsidR="004B68D8" w:rsidRPr="004B68D8"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</w:rPr>
        <w:t>实践性环节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：□学术知识性□方法技能性□研究探索性</w:t>
      </w:r>
      <w:r w:rsidR="004B68D8" w:rsidRPr="004B68D8"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</w:rPr>
        <w:t>实践体验性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4B68D8">
        <w:rPr>
          <w:rFonts w:ascii="宋体" w:hAnsi="宋体" w:hint="eastAsia"/>
          <w:sz w:val="24"/>
          <w:szCs w:val="24"/>
        </w:rPr>
        <w:t>1090210</w:t>
      </w:r>
    </w:p>
    <w:p w:rsidR="00CD3C19" w:rsidRDefault="004B68D8" w:rsidP="00CD3C19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周学时： 16  总学时：   16        学分:1</w:t>
      </w:r>
      <w:r w:rsidR="00CD3C19">
        <w:rPr>
          <w:sz w:val="24"/>
          <w:szCs w:val="24"/>
        </w:rPr>
        <w:t>: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4B68D8">
        <w:rPr>
          <w:rFonts w:ascii="宋体" w:hAnsi="宋体" w:hint="eastAsia"/>
          <w:sz w:val="24"/>
          <w:szCs w:val="24"/>
        </w:rPr>
        <w:t>泥塑、中国雕塑史、中国美术史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授课对象：</w:t>
      </w:r>
      <w:r w:rsidR="004B68D8">
        <w:rPr>
          <w:rFonts w:hint="eastAsia"/>
          <w:sz w:val="24"/>
          <w:szCs w:val="24"/>
        </w:rPr>
        <w:t>2014</w:t>
      </w:r>
      <w:r w:rsidR="004B68D8">
        <w:rPr>
          <w:rFonts w:hint="eastAsia"/>
          <w:sz w:val="24"/>
          <w:szCs w:val="24"/>
        </w:rPr>
        <w:t>级雕塑专业本科学生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4B68D8" w:rsidRDefault="004B68D8" w:rsidP="004B68D8">
      <w:pPr>
        <w:pStyle w:val="1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中国古代雕塑艺术考察是雕塑专业重要的艺术实践课程。内容包括外出写生、中国古代雕塑艺术考察、城市空间雕塑考察等内容，要求将已掌握的各种艺术表现手段和户外课程相结合，培养学生分析、判断、处理的实际能力，并通过不同阶段的要求使这种能力得到锻炼。</w:t>
      </w:r>
    </w:p>
    <w:p w:rsidR="004B68D8" w:rsidRDefault="004B68D8" w:rsidP="004B68D8">
      <w:pPr>
        <w:pStyle w:val="1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二年级下学期的古代雕塑艺术考查课中，学生已经走过西北一线，对秦、汉、北朝、隋唐雕塑进行考察，通过学习对中国北方的陵墓和石窟雕塑艺术有了直观的认识。此次考察南京及周边的古代雕塑，重点是南朝石刻，使学生对中国</w:t>
      </w:r>
      <w:r>
        <w:rPr>
          <w:rFonts w:ascii="宋体" w:hAnsi="宋体" w:hint="eastAsia"/>
          <w:sz w:val="24"/>
          <w:szCs w:val="24"/>
        </w:rPr>
        <w:lastRenderedPageBreak/>
        <w:t>古代雕塑艺术的发展脉络有整体的认识。并且可以比较汉、南北朝、唐代陵墓雕塑的造型异同。考察内容：</w:t>
      </w:r>
    </w:p>
    <w:p w:rsidR="004B68D8" w:rsidRDefault="004B68D8" w:rsidP="004B68D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1、南京博物院</w:t>
      </w:r>
    </w:p>
    <w:p w:rsidR="004B68D8" w:rsidRDefault="004B68D8" w:rsidP="004B68D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2、中山陵</w:t>
      </w:r>
    </w:p>
    <w:p w:rsidR="004B68D8" w:rsidRDefault="004B68D8" w:rsidP="004B68D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3、明孝陵</w:t>
      </w: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4、南朝石刻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（1）南京栖霞区（梁）：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萧景墓：石刻位于南京栖霞镇十月村，毛主席雕像对面。</w:t>
      </w:r>
    </w:p>
    <w:p w:rsidR="004B68D8" w:rsidRDefault="004B68D8" w:rsidP="004B68D8">
      <w:pPr>
        <w:pStyle w:val="1"/>
        <w:spacing w:line="360" w:lineRule="auto"/>
        <w:ind w:firstLineChars="17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萧</w:t>
      </w:r>
      <w:proofErr w:type="gramStart"/>
      <w:r>
        <w:rPr>
          <w:rFonts w:ascii="宋体" w:hAnsi="宋体" w:hint="eastAsia"/>
          <w:sz w:val="24"/>
          <w:szCs w:val="24"/>
        </w:rPr>
        <w:t>谵</w:t>
      </w:r>
      <w:proofErr w:type="gramEnd"/>
      <w:r>
        <w:rPr>
          <w:rFonts w:ascii="宋体" w:hAnsi="宋体" w:hint="eastAsia"/>
          <w:sz w:val="24"/>
          <w:szCs w:val="24"/>
        </w:rPr>
        <w:t>墓、萧恢墓：石刻位于南京市栖霞镇新合村甘家巷。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萧秀墓：石刻位于栖霞区甘家巷小学内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proofErr w:type="gramStart"/>
      <w:r>
        <w:rPr>
          <w:rFonts w:ascii="宋体" w:hAnsi="宋体" w:hint="eastAsia"/>
          <w:sz w:val="24"/>
          <w:szCs w:val="24"/>
        </w:rPr>
        <w:t>萧融墓</w:t>
      </w:r>
      <w:proofErr w:type="gramEnd"/>
      <w:r>
        <w:rPr>
          <w:rFonts w:ascii="宋体" w:hAnsi="宋体" w:hint="eastAsia"/>
          <w:sz w:val="24"/>
          <w:szCs w:val="24"/>
        </w:rPr>
        <w:t>：石刻位于南京炼油厂中学。</w:t>
      </w:r>
    </w:p>
    <w:p w:rsidR="004B68D8" w:rsidRDefault="004B68D8" w:rsidP="004B68D8">
      <w:pPr>
        <w:pStyle w:val="1"/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陈文帝陈茜永宁陵：石刻位于栖霞镇新合村狮子冲田野中，南象山公墓附近。 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（2）江宁区（宋）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宋武帝</w:t>
      </w:r>
      <w:proofErr w:type="gramStart"/>
      <w:r>
        <w:rPr>
          <w:rFonts w:ascii="宋体" w:hAnsi="宋体" w:hint="eastAsia"/>
          <w:sz w:val="24"/>
          <w:szCs w:val="24"/>
        </w:rPr>
        <w:t>刘裕初宁陵</w:t>
      </w:r>
      <w:proofErr w:type="gramEnd"/>
      <w:r>
        <w:rPr>
          <w:rFonts w:ascii="宋体" w:hAnsi="宋体" w:hint="eastAsia"/>
          <w:sz w:val="24"/>
          <w:szCs w:val="24"/>
        </w:rPr>
        <w:t>：石刻位于江宁区麒麟镇麒麟铺村公路两侧。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（3）丹阳市（南齐陵墓）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proofErr w:type="gramStart"/>
      <w:r>
        <w:rPr>
          <w:rFonts w:ascii="宋体" w:hAnsi="宋体" w:hint="eastAsia"/>
          <w:sz w:val="24"/>
          <w:szCs w:val="24"/>
        </w:rPr>
        <w:t>修安陵</w:t>
      </w:r>
      <w:proofErr w:type="gramEnd"/>
      <w:r>
        <w:rPr>
          <w:rFonts w:ascii="宋体" w:hAnsi="宋体" w:hint="eastAsia"/>
          <w:sz w:val="24"/>
          <w:szCs w:val="24"/>
        </w:rPr>
        <w:t>：位于今江苏省丹阳市胡桥山伯塘湾鹤仙坳南麓。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永安陵：位于今江苏省丹阳市东北胡桥北狮子湾。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景安陵，位于今江苏省丹阳市建山乡</w:t>
      </w:r>
      <w:proofErr w:type="gramStart"/>
      <w:r>
        <w:rPr>
          <w:rFonts w:ascii="宋体" w:hAnsi="宋体" w:hint="eastAsia"/>
          <w:sz w:val="24"/>
          <w:szCs w:val="24"/>
        </w:rPr>
        <w:t>前艾庙</w:t>
      </w:r>
      <w:proofErr w:type="gramEnd"/>
      <w:r>
        <w:rPr>
          <w:rFonts w:ascii="宋体" w:hAnsi="宋体" w:hint="eastAsia"/>
          <w:sz w:val="24"/>
          <w:szCs w:val="24"/>
        </w:rPr>
        <w:t>。</w:t>
      </w:r>
    </w:p>
    <w:p w:rsidR="004B68D8" w:rsidRDefault="004B68D8" w:rsidP="004B68D8">
      <w:pPr>
        <w:pStyle w:val="1"/>
        <w:spacing w:line="360" w:lineRule="auto"/>
        <w:ind w:firstLineChars="0" w:firstLine="480"/>
        <w:rPr>
          <w:rFonts w:ascii="宋体" w:hAnsi="宋体"/>
          <w:sz w:val="24"/>
          <w:szCs w:val="24"/>
        </w:rPr>
      </w:pP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课程安排：</w:t>
      </w: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>
        <w:rPr>
          <w:rFonts w:ascii="宋体" w:hAnsi="宋体" w:hint="eastAsia"/>
          <w:spacing w:val="7"/>
          <w:sz w:val="24"/>
          <w:szCs w:val="24"/>
        </w:rPr>
        <w:t xml:space="preserve">学生统一在带队老师的带领下确定艺术考察项目，经学院主管院长批准后 </w:t>
      </w:r>
      <w:r>
        <w:rPr>
          <w:rFonts w:ascii="宋体" w:hAnsi="宋体" w:hint="eastAsia"/>
          <w:sz w:val="24"/>
          <w:szCs w:val="24"/>
        </w:rPr>
        <w:t>可开始准备考查内容。</w:t>
      </w: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2、在出发前进行考察内容、要求、安全教育。</w:t>
      </w: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3、完成对考察路线的大概了解并准备沿途所需物品。</w:t>
      </w: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4、在教师指导下进行艺术考察主要内容进行预习。</w:t>
      </w:r>
    </w:p>
    <w:p w:rsidR="004B68D8" w:rsidRDefault="004B68D8" w:rsidP="004B68D8">
      <w:pPr>
        <w:pStyle w:val="1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5、学生正式</w:t>
      </w:r>
      <w:proofErr w:type="gramStart"/>
      <w:r>
        <w:rPr>
          <w:rFonts w:ascii="宋体" w:hAnsi="宋体" w:hint="eastAsia"/>
          <w:sz w:val="24"/>
          <w:szCs w:val="24"/>
        </w:rPr>
        <w:t>随带队老师</w:t>
      </w:r>
      <w:proofErr w:type="gramEnd"/>
      <w:r>
        <w:rPr>
          <w:rFonts w:ascii="宋体" w:hAnsi="宋体" w:hint="eastAsia"/>
          <w:sz w:val="24"/>
          <w:szCs w:val="24"/>
        </w:rPr>
        <w:t>出发考察，路上听从带队老师统一安排。</w:t>
      </w:r>
    </w:p>
    <w:p w:rsidR="00CD3C19" w:rsidRDefault="004B68D8" w:rsidP="004B68D8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6、考察课程结束交速写作业20张，进行评分。</w:t>
      </w: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586756" w:rsidRDefault="00586756" w:rsidP="00586756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核心知识：</w:t>
      </w:r>
      <w:r>
        <w:rPr>
          <w:rFonts w:hint="eastAsia"/>
          <w:sz w:val="24"/>
          <w:szCs w:val="24"/>
        </w:rPr>
        <w:t>南朝陵墓雕刻的布局及造型特点；六朝的艺术家及其作品：陶渊明、王羲之、顾恺之、《洛神赋图》、《女史箴图》，六朝砖刻；古代墓俑。</w:t>
      </w:r>
    </w:p>
    <w:p w:rsidR="00586756" w:rsidRDefault="00586756" w:rsidP="0058675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关键技能：比较南朝艺术和秦汉、北朝、隋唐艺术的</w:t>
      </w:r>
      <w:r>
        <w:rPr>
          <w:rFonts w:hint="eastAsia"/>
          <w:sz w:val="24"/>
          <w:szCs w:val="24"/>
        </w:rPr>
        <w:t>异同</w:t>
      </w:r>
      <w:r>
        <w:rPr>
          <w:rFonts w:hint="eastAsia"/>
          <w:sz w:val="24"/>
          <w:szCs w:val="24"/>
        </w:rPr>
        <w:t>，分析中国</w:t>
      </w:r>
      <w:r>
        <w:rPr>
          <w:rFonts w:hint="eastAsia"/>
          <w:sz w:val="24"/>
          <w:szCs w:val="24"/>
        </w:rPr>
        <w:t>古代</w:t>
      </w:r>
      <w:r>
        <w:rPr>
          <w:rFonts w:hint="eastAsia"/>
          <w:sz w:val="24"/>
          <w:szCs w:val="24"/>
        </w:rPr>
        <w:t>艺术的造型特点与造型规律</w:t>
      </w:r>
      <w:r>
        <w:rPr>
          <w:rFonts w:hint="eastAsia"/>
          <w:sz w:val="24"/>
          <w:szCs w:val="24"/>
        </w:rPr>
        <w:t>。</w:t>
      </w:r>
    </w:p>
    <w:p w:rsidR="00586756" w:rsidRDefault="00586756" w:rsidP="0058675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综合素养：</w:t>
      </w:r>
      <w:r w:rsidRPr="004B68D8">
        <w:rPr>
          <w:rFonts w:hint="eastAsia"/>
          <w:sz w:val="24"/>
          <w:szCs w:val="24"/>
        </w:rPr>
        <w:t>通过</w:t>
      </w:r>
      <w:r>
        <w:rPr>
          <w:rFonts w:hint="eastAsia"/>
          <w:sz w:val="24"/>
          <w:szCs w:val="24"/>
        </w:rPr>
        <w:t>对于中国古代雕塑的考察学习，认真体会中国本民族的优秀艺术传统，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提高对于雕塑艺术的欣赏和理解能力。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学习民族艺术之长，潜移默化的融入到今后的艺术实践之中。</w:t>
      </w:r>
    </w:p>
    <w:p w:rsidR="00586756" w:rsidRPr="00586756" w:rsidRDefault="00586756" w:rsidP="004B68D8">
      <w:pPr>
        <w:spacing w:line="360" w:lineRule="auto"/>
        <w:ind w:firstLineChars="200" w:firstLine="480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72"/>
        <w:gridCol w:w="2412"/>
        <w:gridCol w:w="1702"/>
      </w:tblGrid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教学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课外学习要求</w:t>
            </w: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学习内容：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、南京博物院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2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、中山陵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3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、明孝陵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4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、南朝石刻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（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）南京栖霞区（梁）：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萧景墓、萧</w:t>
            </w:r>
            <w:proofErr w:type="gramStart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谵</w:t>
            </w:r>
            <w:proofErr w:type="gramEnd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墓、萧恢墓、萧秀墓、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 xml:space="preserve"> </w:t>
            </w:r>
            <w:proofErr w:type="gramStart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萧融墓</w:t>
            </w:r>
            <w:proofErr w:type="gramEnd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、陈文帝陈茜永宁陵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（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2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）江宁区（宋）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宋武帝</w:t>
            </w:r>
            <w:proofErr w:type="gramStart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刘裕初宁陵</w:t>
            </w:r>
            <w:proofErr w:type="gramEnd"/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（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3</w:t>
            </w: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）丹阳市（南齐陵墓）</w:t>
            </w:r>
          </w:p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proofErr w:type="gramStart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修安陵</w:t>
            </w:r>
            <w:proofErr w:type="gramEnd"/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、永安陵、景安陵</w:t>
            </w:r>
          </w:p>
          <w:p w:rsidR="00B8260C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lastRenderedPageBreak/>
              <w:t>重点：南朝陵墓石刻形制与的造型特点；南朝陵墓石刻与汉、唐陵墓石刻造型风格比较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lastRenderedPageBreak/>
              <w:t>教师讲授，学生讨论，现场素描写生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0C" w:rsidRPr="006703CE" w:rsidRDefault="00B8260C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6703CE" w:rsidRPr="006703CE" w:rsidTr="006703C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6703CE">
              <w:rPr>
                <w:rFonts w:ascii="Calibri" w:eastAsia="宋体" w:hAnsi="Calibri" w:cs="黑体" w:hint="eastAsia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E" w:rsidRPr="006703CE" w:rsidRDefault="006703CE" w:rsidP="006703CE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</w:tbl>
    <w:p w:rsidR="00CD3C19" w:rsidRDefault="00CD3C19" w:rsidP="00CD3C19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  <w:r>
        <w:rPr>
          <w:rFonts w:hint="eastAsia"/>
          <w:sz w:val="24"/>
          <w:szCs w:val="24"/>
        </w:rPr>
        <w:t>（满足对应课程标准的第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/>
          <w:sz w:val="24"/>
          <w:szCs w:val="24"/>
        </w:rPr>
        <w:t>条）</w:t>
      </w:r>
    </w:p>
    <w:p w:rsidR="006703CE" w:rsidRPr="006703CE" w:rsidRDefault="006703CE" w:rsidP="006703CE">
      <w:pPr>
        <w:spacing w:line="360" w:lineRule="auto"/>
        <w:ind w:firstLineChars="200" w:firstLine="480"/>
        <w:rPr>
          <w:sz w:val="24"/>
          <w:szCs w:val="24"/>
        </w:rPr>
      </w:pPr>
      <w:r w:rsidRPr="006703CE">
        <w:rPr>
          <w:rFonts w:hint="eastAsia"/>
          <w:sz w:val="24"/>
          <w:szCs w:val="24"/>
        </w:rPr>
        <w:t>考察的课程需要认真的完成任务，充分利用学习时间和个人实践的时间，根据大纲要求和教师的实际辅导进度进行学习，做到课上和课下的有效互动。掌握学术与技术的统一能力，成为优秀的创作人才。</w:t>
      </w:r>
    </w:p>
    <w:p w:rsidR="00CD3C19" w:rsidRDefault="006703CE" w:rsidP="006703CE">
      <w:pPr>
        <w:spacing w:line="360" w:lineRule="auto"/>
        <w:ind w:firstLineChars="200" w:firstLine="480"/>
        <w:rPr>
          <w:sz w:val="24"/>
          <w:szCs w:val="24"/>
        </w:rPr>
      </w:pPr>
      <w:r w:rsidRPr="006703CE">
        <w:rPr>
          <w:rFonts w:hint="eastAsia"/>
          <w:sz w:val="24"/>
          <w:szCs w:val="24"/>
        </w:rPr>
        <w:t>本课程要求学生要积极参与，不能无原由请假。</w:t>
      </w:r>
    </w:p>
    <w:p w:rsidR="00CD3C19" w:rsidRDefault="00CD3C19" w:rsidP="00CD3C19">
      <w:pPr>
        <w:spacing w:line="360" w:lineRule="auto"/>
        <w:ind w:firstLineChars="200" w:firstLine="480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16333B" w:rsidRPr="0016333B" w:rsidRDefault="0016333B" w:rsidP="0016333B">
      <w:pPr>
        <w:pStyle w:val="1"/>
        <w:spacing w:line="360" w:lineRule="auto"/>
        <w:ind w:firstLine="480"/>
        <w:rPr>
          <w:sz w:val="24"/>
          <w:szCs w:val="24"/>
        </w:rPr>
      </w:pPr>
      <w:r w:rsidRPr="0016333B">
        <w:rPr>
          <w:rFonts w:hint="eastAsia"/>
          <w:sz w:val="24"/>
          <w:szCs w:val="24"/>
        </w:rPr>
        <w:t>本课程成绩按照学院要求，分为平时成绩和期末成绩，各</w:t>
      </w:r>
      <w:r w:rsidRPr="0016333B">
        <w:rPr>
          <w:rFonts w:hint="eastAsia"/>
          <w:sz w:val="24"/>
          <w:szCs w:val="24"/>
        </w:rPr>
        <w:t>100</w:t>
      </w:r>
      <w:r w:rsidRPr="0016333B">
        <w:rPr>
          <w:rFonts w:hint="eastAsia"/>
          <w:sz w:val="24"/>
          <w:szCs w:val="24"/>
        </w:rPr>
        <w:t>分。在此基础上按照平时成绩占</w:t>
      </w:r>
      <w:r w:rsidRPr="0016333B">
        <w:rPr>
          <w:rFonts w:hint="eastAsia"/>
          <w:sz w:val="24"/>
          <w:szCs w:val="24"/>
        </w:rPr>
        <w:t>60%</w:t>
      </w:r>
      <w:r w:rsidRPr="0016333B">
        <w:rPr>
          <w:rFonts w:hint="eastAsia"/>
          <w:sz w:val="24"/>
          <w:szCs w:val="24"/>
        </w:rPr>
        <w:t>、期末成绩占</w:t>
      </w:r>
      <w:r w:rsidRPr="0016333B">
        <w:rPr>
          <w:rFonts w:hint="eastAsia"/>
          <w:sz w:val="24"/>
          <w:szCs w:val="24"/>
        </w:rPr>
        <w:t>40%</w:t>
      </w:r>
      <w:r w:rsidRPr="0016333B">
        <w:rPr>
          <w:rFonts w:hint="eastAsia"/>
          <w:sz w:val="24"/>
          <w:szCs w:val="24"/>
        </w:rPr>
        <w:t>的计算方法求出总评成绩，总评成绩满分</w:t>
      </w:r>
      <w:r w:rsidRPr="0016333B">
        <w:rPr>
          <w:rFonts w:hint="eastAsia"/>
          <w:sz w:val="24"/>
          <w:szCs w:val="24"/>
        </w:rPr>
        <w:t>100</w:t>
      </w:r>
      <w:r w:rsidRPr="0016333B">
        <w:rPr>
          <w:rFonts w:hint="eastAsia"/>
          <w:sz w:val="24"/>
          <w:szCs w:val="24"/>
        </w:rPr>
        <w:t>分。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2644"/>
        <w:gridCol w:w="3840"/>
      </w:tblGrid>
      <w:tr w:rsidR="006703CE" w:rsidRPr="006703CE" w:rsidTr="00BE679A">
        <w:trPr>
          <w:trHeight w:val="792"/>
        </w:trPr>
        <w:tc>
          <w:tcPr>
            <w:tcW w:w="7420" w:type="dxa"/>
            <w:gridSpan w:val="3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  <w:p w:rsidR="006703CE" w:rsidRPr="006703CE" w:rsidRDefault="006703CE" w:rsidP="006703CE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一、平时成绩</w:t>
            </w:r>
            <w:r w:rsidRPr="006703CE">
              <w:rPr>
                <w:sz w:val="24"/>
                <w:szCs w:val="24"/>
              </w:rPr>
              <w:t>100</w:t>
            </w:r>
            <w:r w:rsidRPr="006703CE"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6703CE" w:rsidRPr="006703CE" w:rsidTr="00BE679A">
        <w:trPr>
          <w:trHeight w:val="834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上课认真听讲。</w:t>
            </w:r>
            <w:r w:rsidR="0016333B">
              <w:rPr>
                <w:rFonts w:hint="eastAsia"/>
                <w:sz w:val="24"/>
                <w:szCs w:val="24"/>
              </w:rPr>
              <w:t>不迟到、早退。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Pr="006703CE">
              <w:rPr>
                <w:sz w:val="24"/>
                <w:szCs w:val="24"/>
              </w:rPr>
              <w:t>20</w:t>
            </w:r>
            <w:r w:rsidRPr="006703CE">
              <w:rPr>
                <w:rFonts w:hint="eastAsia"/>
                <w:sz w:val="24"/>
                <w:szCs w:val="24"/>
              </w:rPr>
              <w:t>分。迟到、早退一次扣</w:t>
            </w:r>
            <w:r w:rsidRPr="006703CE">
              <w:rPr>
                <w:rFonts w:hint="eastAsia"/>
                <w:sz w:val="24"/>
                <w:szCs w:val="24"/>
              </w:rPr>
              <w:t>2</w:t>
            </w:r>
            <w:r w:rsidRPr="006703CE">
              <w:rPr>
                <w:rFonts w:hint="eastAsia"/>
                <w:sz w:val="24"/>
                <w:szCs w:val="24"/>
              </w:rPr>
              <w:t>分。旷课一次扣</w:t>
            </w:r>
            <w:r w:rsidRPr="006703CE">
              <w:rPr>
                <w:rFonts w:hint="eastAsia"/>
                <w:sz w:val="24"/>
                <w:szCs w:val="24"/>
              </w:rPr>
              <w:t>5</w:t>
            </w:r>
            <w:r w:rsidRPr="006703CE">
              <w:rPr>
                <w:rFonts w:hint="eastAsia"/>
                <w:sz w:val="24"/>
                <w:szCs w:val="24"/>
              </w:rPr>
              <w:t>分。累计扣分，不设上限。情节特别严重上报学院严肃处理。</w:t>
            </w:r>
          </w:p>
        </w:tc>
      </w:tr>
      <w:tr w:rsidR="006703CE" w:rsidRPr="006703CE" w:rsidTr="00BE679A">
        <w:trPr>
          <w:trHeight w:val="550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44" w:type="dxa"/>
          </w:tcPr>
          <w:p w:rsidR="006703CE" w:rsidRPr="006703CE" w:rsidRDefault="0016333B" w:rsidP="006703CE">
            <w:pPr>
              <w:pStyle w:val="1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遵守记录，听从带队教师安排。</w:t>
            </w:r>
            <w:proofErr w:type="gramStart"/>
            <w:r>
              <w:rPr>
                <w:rFonts w:hint="eastAsia"/>
                <w:sz w:val="24"/>
                <w:szCs w:val="24"/>
              </w:rPr>
              <w:t>不</w:t>
            </w:r>
            <w:proofErr w:type="gramEnd"/>
            <w:r>
              <w:rPr>
                <w:rFonts w:hint="eastAsia"/>
                <w:sz w:val="24"/>
                <w:szCs w:val="24"/>
              </w:rPr>
              <w:t>擅自外出。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Pr="006703CE">
              <w:rPr>
                <w:sz w:val="24"/>
                <w:szCs w:val="24"/>
              </w:rPr>
              <w:t>2</w:t>
            </w:r>
            <w:r w:rsidRPr="006703CE">
              <w:rPr>
                <w:rFonts w:hint="eastAsia"/>
                <w:sz w:val="24"/>
                <w:szCs w:val="24"/>
              </w:rPr>
              <w:t>0</w:t>
            </w:r>
            <w:r w:rsidRPr="006703CE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6703CE" w:rsidRPr="006703CE" w:rsidTr="00BE679A">
        <w:trPr>
          <w:trHeight w:val="732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lastRenderedPageBreak/>
              <w:t>3</w:t>
            </w:r>
          </w:p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互动性强，学习</w:t>
            </w:r>
          </w:p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积极性高，进步明显。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Pr="006703CE">
              <w:rPr>
                <w:sz w:val="24"/>
                <w:szCs w:val="24"/>
              </w:rPr>
              <w:t>3</w:t>
            </w:r>
            <w:r w:rsidRPr="006703CE">
              <w:rPr>
                <w:rFonts w:hint="eastAsia"/>
                <w:sz w:val="24"/>
                <w:szCs w:val="24"/>
              </w:rPr>
              <w:t>0</w:t>
            </w:r>
            <w:r w:rsidRPr="006703CE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6703CE" w:rsidRPr="006703CE" w:rsidTr="00BE679A">
        <w:trPr>
          <w:trHeight w:val="984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4</w:t>
            </w:r>
          </w:p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认真按照要求完成每个阶段性的要求或作业。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Pr="006703CE">
              <w:rPr>
                <w:sz w:val="24"/>
                <w:szCs w:val="24"/>
              </w:rPr>
              <w:t>3</w:t>
            </w:r>
            <w:r w:rsidRPr="006703CE">
              <w:rPr>
                <w:rFonts w:hint="eastAsia"/>
                <w:sz w:val="24"/>
                <w:szCs w:val="24"/>
              </w:rPr>
              <w:t>0</w:t>
            </w:r>
            <w:r w:rsidRPr="006703CE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6703CE" w:rsidRPr="006703CE" w:rsidTr="00BE679A">
        <w:trPr>
          <w:trHeight w:val="972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</w:tr>
      <w:tr w:rsidR="006703CE" w:rsidRPr="006703CE" w:rsidTr="00BE679A">
        <w:trPr>
          <w:trHeight w:val="504"/>
        </w:trPr>
        <w:tc>
          <w:tcPr>
            <w:tcW w:w="7420" w:type="dxa"/>
            <w:gridSpan w:val="3"/>
          </w:tcPr>
          <w:p w:rsidR="006703CE" w:rsidRPr="006703CE" w:rsidRDefault="006703CE" w:rsidP="0016333B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二、课程结束后</w:t>
            </w:r>
            <w:r w:rsidR="0016333B">
              <w:rPr>
                <w:rFonts w:hint="eastAsia"/>
                <w:sz w:val="24"/>
                <w:szCs w:val="24"/>
              </w:rPr>
              <w:t>上交速写作业</w:t>
            </w:r>
            <w:r w:rsidRPr="006703CE">
              <w:rPr>
                <w:rFonts w:hint="eastAsia"/>
                <w:sz w:val="24"/>
                <w:szCs w:val="24"/>
              </w:rPr>
              <w:t>作为期末成绩，总分</w:t>
            </w:r>
            <w:r w:rsidRPr="006703CE">
              <w:rPr>
                <w:sz w:val="24"/>
                <w:szCs w:val="24"/>
              </w:rPr>
              <w:t>100</w:t>
            </w:r>
            <w:r w:rsidRPr="006703CE"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6703CE" w:rsidRPr="006703CE" w:rsidTr="00BE679A">
        <w:trPr>
          <w:trHeight w:val="468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6703CE" w:rsidRPr="006703CE" w:rsidRDefault="0016333B" w:rsidP="006703CE">
            <w:pPr>
              <w:pStyle w:val="1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作业数量达到要求。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="0016333B">
              <w:rPr>
                <w:sz w:val="24"/>
                <w:szCs w:val="24"/>
              </w:rPr>
              <w:t>4</w:t>
            </w:r>
            <w:r w:rsidRPr="006703CE">
              <w:rPr>
                <w:rFonts w:hint="eastAsia"/>
                <w:sz w:val="24"/>
                <w:szCs w:val="24"/>
              </w:rPr>
              <w:t>0</w:t>
            </w:r>
            <w:r w:rsidRPr="006703CE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6703CE" w:rsidRPr="006703CE" w:rsidTr="00BE679A">
        <w:trPr>
          <w:trHeight w:val="288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44" w:type="dxa"/>
          </w:tcPr>
          <w:p w:rsidR="006703CE" w:rsidRPr="006703CE" w:rsidRDefault="0016333B" w:rsidP="006703CE">
            <w:pPr>
              <w:pStyle w:val="1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造型生动准确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="0016333B">
              <w:rPr>
                <w:sz w:val="24"/>
                <w:szCs w:val="24"/>
              </w:rPr>
              <w:t>3</w:t>
            </w:r>
            <w:r w:rsidRPr="006703CE">
              <w:rPr>
                <w:rFonts w:hint="eastAsia"/>
                <w:sz w:val="24"/>
                <w:szCs w:val="24"/>
              </w:rPr>
              <w:t>0</w:t>
            </w:r>
            <w:r w:rsidRPr="006703CE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6703CE" w:rsidRPr="006703CE" w:rsidTr="00BE679A">
        <w:trPr>
          <w:trHeight w:val="252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44" w:type="dxa"/>
          </w:tcPr>
          <w:p w:rsidR="006703CE" w:rsidRPr="006703CE" w:rsidRDefault="0016333B" w:rsidP="006703CE">
            <w:pPr>
              <w:pStyle w:val="1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对古代艺术有自己独到的理解</w:t>
            </w: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符合要求，满分记</w:t>
            </w:r>
            <w:r w:rsidR="0016333B">
              <w:rPr>
                <w:sz w:val="24"/>
                <w:szCs w:val="24"/>
              </w:rPr>
              <w:t>3</w:t>
            </w:r>
            <w:r w:rsidRPr="006703CE">
              <w:rPr>
                <w:rFonts w:hint="eastAsia"/>
                <w:sz w:val="24"/>
                <w:szCs w:val="24"/>
              </w:rPr>
              <w:t>0</w:t>
            </w:r>
            <w:r w:rsidRPr="006703CE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6703CE" w:rsidRPr="006703CE" w:rsidTr="00BE679A">
        <w:trPr>
          <w:trHeight w:val="180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</w:tr>
      <w:tr w:rsidR="006703CE" w:rsidRPr="006703CE" w:rsidTr="00BE679A">
        <w:trPr>
          <w:trHeight w:val="240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</w:tr>
      <w:tr w:rsidR="006703CE" w:rsidRPr="006703CE" w:rsidTr="00BE679A">
        <w:trPr>
          <w:trHeight w:val="216"/>
        </w:trPr>
        <w:tc>
          <w:tcPr>
            <w:tcW w:w="936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6703CE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644" w:type="dxa"/>
          </w:tcPr>
          <w:p w:rsidR="006703CE" w:rsidRPr="006703CE" w:rsidRDefault="006703CE" w:rsidP="006703CE">
            <w:pPr>
              <w:pStyle w:val="1"/>
              <w:ind w:firstLine="480"/>
              <w:rPr>
                <w:sz w:val="24"/>
                <w:szCs w:val="24"/>
              </w:rPr>
            </w:pPr>
          </w:p>
        </w:tc>
        <w:tc>
          <w:tcPr>
            <w:tcW w:w="3840" w:type="dxa"/>
          </w:tcPr>
          <w:p w:rsidR="006703CE" w:rsidRPr="006703CE" w:rsidRDefault="006703CE" w:rsidP="006703CE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16333B" w:rsidRDefault="0016333B" w:rsidP="007F00B5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参考书：</w:t>
      </w:r>
    </w:p>
    <w:p w:rsidR="0016333B" w:rsidRDefault="0016333B" w:rsidP="0016333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林树中：《六朝艺术》，</w:t>
      </w:r>
      <w:r>
        <w:rPr>
          <w:rFonts w:ascii="宋体" w:hAnsi="宋体" w:cs="宋体" w:hint="eastAsia"/>
          <w:sz w:val="24"/>
          <w:szCs w:val="24"/>
        </w:rPr>
        <w:t xml:space="preserve"> 南京出版社，2004年12月。</w:t>
      </w:r>
    </w:p>
    <w:p w:rsidR="0016333B" w:rsidRDefault="0016333B" w:rsidP="0016333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徐湖平：《南朝陵墓雕刻艺术》，北京：文物出版社，2006年12月。</w:t>
      </w:r>
    </w:p>
    <w:p w:rsidR="0016333B" w:rsidRDefault="0016333B" w:rsidP="0016333B">
      <w:pPr>
        <w:spacing w:line="360" w:lineRule="auto"/>
        <w:rPr>
          <w:rFonts w:ascii="宋体" w:hAnsi="宋体" w:cs="宋体"/>
          <w:sz w:val="24"/>
          <w:szCs w:val="24"/>
        </w:rPr>
      </w:pPr>
      <w:proofErr w:type="gramStart"/>
      <w:r>
        <w:rPr>
          <w:rFonts w:ascii="宋体" w:hAnsi="宋体" w:cs="宋体" w:hint="eastAsia"/>
          <w:sz w:val="24"/>
          <w:szCs w:val="24"/>
        </w:rPr>
        <w:t>曾布川宽</w:t>
      </w:r>
      <w:proofErr w:type="gramEnd"/>
      <w:r>
        <w:rPr>
          <w:rFonts w:ascii="宋体" w:hAnsi="宋体" w:cs="宋体" w:hint="eastAsia"/>
          <w:sz w:val="24"/>
          <w:szCs w:val="24"/>
        </w:rPr>
        <w:t>：《六朝帝陵》，南京出版社，2004年9月。</w:t>
      </w:r>
    </w:p>
    <w:p w:rsidR="0016333B" w:rsidRDefault="0016333B" w:rsidP="0016333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王子云：《中国古代雕塑史》，北京：人民美术出版社，1993年3月。</w:t>
      </w:r>
    </w:p>
    <w:p w:rsidR="00F02CC8" w:rsidRDefault="00F02CC8" w:rsidP="00F02CC8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网络资源：</w:t>
      </w:r>
    </w:p>
    <w:p w:rsidR="00F02CC8" w:rsidRDefault="00F02CC8" w:rsidP="00F02CC8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南朝陵墓石刻网：http://www.jllib.cn/ffy/nclmsksy/homepage.htm</w:t>
      </w:r>
    </w:p>
    <w:p w:rsidR="00CD3C19" w:rsidRPr="00F02CC8" w:rsidRDefault="00CD3C19" w:rsidP="00CD3C19">
      <w:pPr>
        <w:spacing w:line="360" w:lineRule="auto"/>
        <w:rPr>
          <w:b/>
          <w:sz w:val="28"/>
          <w:szCs w:val="28"/>
        </w:rPr>
      </w:pPr>
    </w:p>
    <w:p w:rsidR="00CD3C19" w:rsidRDefault="00CD3C19" w:rsidP="00CD3C1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010934" w:rsidRPr="00934B83" w:rsidRDefault="00F02CC8" w:rsidP="00934B83">
      <w:pPr>
        <w:ind w:firstLineChars="200" w:firstLine="480"/>
        <w:rPr>
          <w:sz w:val="24"/>
          <w:szCs w:val="24"/>
        </w:rPr>
      </w:pPr>
      <w:r w:rsidRPr="00934B83">
        <w:rPr>
          <w:rFonts w:hint="eastAsia"/>
          <w:sz w:val="24"/>
          <w:szCs w:val="24"/>
        </w:rPr>
        <w:t>班长提前一周和任课教师联系，确定外出事宜。</w:t>
      </w:r>
    </w:p>
    <w:sectPr w:rsidR="00010934" w:rsidRPr="00934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587" w:rsidRDefault="00AB5587" w:rsidP="00CD3C19">
      <w:r>
        <w:separator/>
      </w:r>
    </w:p>
  </w:endnote>
  <w:endnote w:type="continuationSeparator" w:id="0">
    <w:p w:rsidR="00AB5587" w:rsidRDefault="00AB5587" w:rsidP="00CD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587" w:rsidRDefault="00AB5587" w:rsidP="00CD3C19">
      <w:r>
        <w:separator/>
      </w:r>
    </w:p>
  </w:footnote>
  <w:footnote w:type="continuationSeparator" w:id="0">
    <w:p w:rsidR="00AB5587" w:rsidRDefault="00AB5587" w:rsidP="00CD3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80"/>
    <w:rsid w:val="00010934"/>
    <w:rsid w:val="001135CA"/>
    <w:rsid w:val="0016333B"/>
    <w:rsid w:val="00245F80"/>
    <w:rsid w:val="004B68D8"/>
    <w:rsid w:val="00586756"/>
    <w:rsid w:val="006703CE"/>
    <w:rsid w:val="006D34F3"/>
    <w:rsid w:val="007F00B5"/>
    <w:rsid w:val="00934B83"/>
    <w:rsid w:val="00AB5587"/>
    <w:rsid w:val="00B8260C"/>
    <w:rsid w:val="00CD3C19"/>
    <w:rsid w:val="00DC2035"/>
    <w:rsid w:val="00F0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19"/>
    <w:pPr>
      <w:widowControl w:val="0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CD3C19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C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C19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CD3C19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CD3C19"/>
    <w:rPr>
      <w:color w:val="0000FF" w:themeColor="hyperlink"/>
      <w:u w:val="single"/>
    </w:rPr>
  </w:style>
  <w:style w:type="paragraph" w:customStyle="1" w:styleId="1">
    <w:name w:val="列出段落1"/>
    <w:basedOn w:val="a"/>
    <w:qFormat/>
    <w:rsid w:val="00CD3C19"/>
    <w:pPr>
      <w:ind w:firstLineChars="200" w:firstLine="420"/>
    </w:pPr>
    <w:rPr>
      <w:rFonts w:ascii="Calibri" w:eastAsia="宋体" w:hAnsi="Calibri" w:cs="Times New Roman"/>
    </w:rPr>
  </w:style>
  <w:style w:type="table" w:styleId="a6">
    <w:name w:val="Table Grid"/>
    <w:basedOn w:val="a1"/>
    <w:rsid w:val="00CD3C1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-light-bg4">
    <w:name w:val="high-light-bg4"/>
    <w:basedOn w:val="a0"/>
    <w:rsid w:val="004B6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19"/>
    <w:pPr>
      <w:widowControl w:val="0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CD3C19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C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C19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CD3C19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CD3C19"/>
    <w:rPr>
      <w:color w:val="0000FF" w:themeColor="hyperlink"/>
      <w:u w:val="single"/>
    </w:rPr>
  </w:style>
  <w:style w:type="paragraph" w:customStyle="1" w:styleId="1">
    <w:name w:val="列出段落1"/>
    <w:basedOn w:val="a"/>
    <w:qFormat/>
    <w:rsid w:val="00CD3C19"/>
    <w:pPr>
      <w:ind w:firstLineChars="200" w:firstLine="420"/>
    </w:pPr>
    <w:rPr>
      <w:rFonts w:ascii="Calibri" w:eastAsia="宋体" w:hAnsi="Calibri" w:cs="Times New Roman"/>
    </w:rPr>
  </w:style>
  <w:style w:type="table" w:styleId="a6">
    <w:name w:val="Table Grid"/>
    <w:basedOn w:val="a1"/>
    <w:rsid w:val="00CD3C1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-light-bg4">
    <w:name w:val="high-light-bg4"/>
    <w:basedOn w:val="a0"/>
    <w:rsid w:val="004B6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9</cp:revision>
  <dcterms:created xsi:type="dcterms:W3CDTF">2016-10-22T05:04:00Z</dcterms:created>
  <dcterms:modified xsi:type="dcterms:W3CDTF">2016-10-22T08:19:00Z</dcterms:modified>
</cp:coreProperties>
</file>